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94" w:rsidRPr="003A779A" w:rsidRDefault="00517794" w:rsidP="003A779A"/>
    <w:p w:rsidR="00517794" w:rsidRDefault="00517794" w:rsidP="003A779A"/>
    <w:p w:rsidR="003A779A" w:rsidRDefault="003A779A" w:rsidP="003A779A"/>
    <w:p w:rsidR="003A779A" w:rsidRPr="003A779A" w:rsidRDefault="003A779A" w:rsidP="003A779A"/>
    <w:p w:rsidR="00517794" w:rsidRDefault="00FA19C5" w:rsidP="00FA19C5">
      <w:pPr>
        <w:pStyle w:val="Covertitle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Adviser </w:t>
      </w:r>
      <w:r w:rsidRPr="00FA19C5">
        <w:rPr>
          <w:sz w:val="48"/>
          <w:szCs w:val="48"/>
        </w:rPr>
        <w:t>Succession planning</w:t>
      </w:r>
      <w:r w:rsidR="00494362" w:rsidRPr="00FA19C5">
        <w:rPr>
          <w:sz w:val="48"/>
          <w:szCs w:val="48"/>
        </w:rPr>
        <w:t xml:space="preserve"> service</w:t>
      </w:r>
    </w:p>
    <w:p w:rsidR="00FA19C5" w:rsidRPr="00FA19C5" w:rsidRDefault="00FA19C5" w:rsidP="00494362">
      <w:pPr>
        <w:pStyle w:val="Covertitle"/>
        <w:rPr>
          <w:sz w:val="48"/>
          <w:szCs w:val="48"/>
        </w:rPr>
      </w:pPr>
    </w:p>
    <w:p w:rsidR="00C21627" w:rsidRPr="00874E71" w:rsidRDefault="0025026C" w:rsidP="00FA19C5">
      <w:pPr>
        <w:pStyle w:val="Coversubheading"/>
        <w:jc w:val="center"/>
      </w:pPr>
      <w:r>
        <w:t xml:space="preserve">Vendor - </w:t>
      </w:r>
      <w:r w:rsidR="00494362">
        <w:t>summary</w:t>
      </w:r>
    </w:p>
    <w:p w:rsidR="0021414E" w:rsidRDefault="0021414E" w:rsidP="0021414E">
      <w:pPr>
        <w:sectPr w:rsidR="0021414E" w:rsidSect="008A3A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236" w:right="1552" w:bottom="2552" w:left="1418" w:header="851" w:footer="708" w:gutter="0"/>
          <w:cols w:space="708"/>
        </w:sectPr>
      </w:pPr>
    </w:p>
    <w:tbl>
      <w:tblPr>
        <w:tblStyle w:val="TableGrid1"/>
        <w:tblW w:w="0" w:type="auto"/>
        <w:tblBorders>
          <w:top w:val="single" w:sz="4" w:space="0" w:color="243C8E"/>
          <w:left w:val="single" w:sz="4" w:space="0" w:color="243C8E"/>
          <w:bottom w:val="single" w:sz="4" w:space="0" w:color="243C8E"/>
          <w:right w:val="single" w:sz="4" w:space="0" w:color="243C8E"/>
          <w:insideH w:val="single" w:sz="4" w:space="0" w:color="243C8E"/>
          <w:insideV w:val="single" w:sz="4" w:space="0" w:color="243C8E"/>
        </w:tblBorders>
        <w:tblLook w:val="04A0" w:firstRow="1" w:lastRow="0" w:firstColumn="1" w:lastColumn="0" w:noHBand="0" w:noVBand="1"/>
      </w:tblPr>
      <w:tblGrid>
        <w:gridCol w:w="4484"/>
        <w:gridCol w:w="1478"/>
        <w:gridCol w:w="1478"/>
        <w:gridCol w:w="1478"/>
      </w:tblGrid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jc w:val="center"/>
              <w:rPr>
                <w:rFonts w:ascii="Verdana" w:eastAsia="Calibri" w:hAnsi="Verdana" w:cs="Times New Roman"/>
                <w:b/>
                <w:color w:val="243C8E"/>
                <w:sz w:val="40"/>
                <w:szCs w:val="40"/>
              </w:rPr>
            </w:pPr>
            <w:r w:rsidRPr="002A6F4B">
              <w:rPr>
                <w:rFonts w:ascii="Verdana" w:eastAsia="Calibri" w:hAnsi="Verdana" w:cs="Times New Roman"/>
                <w:b/>
                <w:color w:val="243C8E"/>
                <w:sz w:val="40"/>
                <w:szCs w:val="40"/>
              </w:rPr>
              <w:lastRenderedPageBreak/>
              <w:t>Vendor Profile</w:t>
            </w:r>
          </w:p>
        </w:tc>
      </w:tr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Contact Details</w:t>
            </w: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Firm name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Firm Address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Contact name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Contact telephone number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Contact email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Company Details</w:t>
            </w: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Company structure (LTD/LLP/Sole Trader)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List all shareholders &amp; percentage owned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Number of RIs &amp; qualifications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Number of support staff &amp; roles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Type of business and Permissions 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Directly authorised/network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Premises (rented/owned)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Existing Borrowing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Company Financials</w:t>
            </w:r>
          </w:p>
        </w:tc>
      </w:tr>
      <w:tr w:rsidR="002A6F4B" w:rsidRPr="002A6F4B" w:rsidTr="003B691D">
        <w:trPr>
          <w:trHeight w:val="381"/>
        </w:trPr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Financial year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20__</w:t>
            </w:r>
          </w:p>
        </w:tc>
      </w:tr>
      <w:tr w:rsidR="002A6F4B" w:rsidRPr="002A6F4B" w:rsidTr="003B691D">
        <w:trPr>
          <w:trHeight w:val="60"/>
        </w:trPr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Turnover 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60"/>
        </w:trPr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Profit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60"/>
        </w:trPr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% Split between one off/repeatable</w:t>
            </w: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Service Proposition/Investment Ethos</w:t>
            </w: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Total funds under management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Platforms used 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Total assets with each platform (%)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Discretionary Investment Managers used 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Active/Passive 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Charging structure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Ongoing service provided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Service segmentation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3</w:t>
            </w:r>
            <w:r w:rsidRPr="002A6F4B">
              <w:rPr>
                <w:rFonts w:ascii="Verdana" w:eastAsia="Calibri" w:hAnsi="Verdana" w:cs="Times New Roman"/>
                <w:sz w:val="20"/>
                <w:szCs w:val="20"/>
                <w:vertAlign w:val="superscript"/>
              </w:rPr>
              <w:t>rd</w:t>
            </w: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 Party systems used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DB transfers/Unregulated investments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9016" w:type="dxa"/>
            <w:gridSpan w:val="4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Client Profile</w:t>
            </w: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Number of clients/households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Geographical location of clients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531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Average portfolio/household value</w:t>
            </w:r>
          </w:p>
        </w:tc>
        <w:tc>
          <w:tcPr>
            <w:tcW w:w="4485" w:type="dxa"/>
            <w:gridSpan w:val="3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25026C" w:rsidRDefault="0025026C" w:rsidP="009C229A"/>
    <w:p w:rsidR="002A6F4B" w:rsidRDefault="002A6F4B" w:rsidP="009C229A"/>
    <w:p w:rsidR="002A6F4B" w:rsidRDefault="002A6F4B" w:rsidP="009C229A"/>
    <w:p w:rsidR="002A6F4B" w:rsidRDefault="002A6F4B" w:rsidP="009C229A"/>
    <w:p w:rsidR="002A6F4B" w:rsidRDefault="002A6F4B" w:rsidP="009C229A"/>
    <w:p w:rsidR="002A6F4B" w:rsidRDefault="002A6F4B" w:rsidP="009C229A"/>
    <w:p w:rsidR="002A6F4B" w:rsidRDefault="002A6F4B" w:rsidP="009C229A"/>
    <w:tbl>
      <w:tblPr>
        <w:tblStyle w:val="TableGrid2"/>
        <w:tblW w:w="0" w:type="auto"/>
        <w:tblBorders>
          <w:top w:val="single" w:sz="4" w:space="0" w:color="243C8E"/>
          <w:left w:val="single" w:sz="4" w:space="0" w:color="243C8E"/>
          <w:bottom w:val="single" w:sz="4" w:space="0" w:color="243C8E"/>
          <w:right w:val="single" w:sz="4" w:space="0" w:color="243C8E"/>
          <w:insideH w:val="single" w:sz="4" w:space="0" w:color="243C8E"/>
          <w:insideV w:val="single" w:sz="4" w:space="0" w:color="243C8E"/>
        </w:tblBorders>
        <w:tblLook w:val="04A0" w:firstRow="1" w:lastRow="0" w:firstColumn="1" w:lastColumn="0" w:noHBand="0" w:noVBand="1"/>
      </w:tblPr>
      <w:tblGrid>
        <w:gridCol w:w="4466"/>
        <w:gridCol w:w="23"/>
        <w:gridCol w:w="4429"/>
      </w:tblGrid>
      <w:tr w:rsidR="002A6F4B" w:rsidRPr="002A6F4B" w:rsidTr="003B691D">
        <w:tc>
          <w:tcPr>
            <w:tcW w:w="8918" w:type="dxa"/>
            <w:gridSpan w:val="3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lastRenderedPageBreak/>
              <w:t>Age Segmentation (%)</w:t>
            </w:r>
          </w:p>
        </w:tc>
      </w:tr>
      <w:tr w:rsidR="002A6F4B" w:rsidRPr="002A6F4B" w:rsidTr="003B691D">
        <w:trPr>
          <w:trHeight w:val="261"/>
        </w:trPr>
        <w:tc>
          <w:tcPr>
            <w:tcW w:w="4466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0-24</w:t>
            </w:r>
          </w:p>
        </w:tc>
        <w:tc>
          <w:tcPr>
            <w:tcW w:w="4452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261"/>
        </w:trPr>
        <w:tc>
          <w:tcPr>
            <w:tcW w:w="4466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25-44</w:t>
            </w:r>
          </w:p>
        </w:tc>
        <w:tc>
          <w:tcPr>
            <w:tcW w:w="4452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261"/>
        </w:trPr>
        <w:tc>
          <w:tcPr>
            <w:tcW w:w="4466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45-64</w:t>
            </w:r>
          </w:p>
        </w:tc>
        <w:tc>
          <w:tcPr>
            <w:tcW w:w="4452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261"/>
        </w:trPr>
        <w:tc>
          <w:tcPr>
            <w:tcW w:w="4466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65-79</w:t>
            </w:r>
          </w:p>
        </w:tc>
        <w:tc>
          <w:tcPr>
            <w:tcW w:w="4452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rPr>
          <w:trHeight w:val="261"/>
        </w:trPr>
        <w:tc>
          <w:tcPr>
            <w:tcW w:w="4466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80+</w:t>
            </w:r>
          </w:p>
        </w:tc>
        <w:tc>
          <w:tcPr>
            <w:tcW w:w="4452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8918" w:type="dxa"/>
            <w:gridSpan w:val="3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Split by wrapper (%)</w:t>
            </w: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GIA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ISA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Pension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Bond (On &amp; Offshore)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Mortgage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Protection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8918" w:type="dxa"/>
            <w:gridSpan w:val="3"/>
            <w:shd w:val="clear" w:color="auto" w:fill="DEEAF6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Expectations post sale</w:t>
            </w: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Reason for sale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Desired handover period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 xml:space="preserve">Retention of any staff required 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Share or Asset sale preferred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2A6F4B" w:rsidRPr="002A6F4B" w:rsidTr="003B691D">
        <w:tc>
          <w:tcPr>
            <w:tcW w:w="4489" w:type="dxa"/>
            <w:gridSpan w:val="2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2A6F4B">
              <w:rPr>
                <w:rFonts w:ascii="Verdana" w:eastAsia="Calibri" w:hAnsi="Verdana" w:cs="Times New Roman"/>
                <w:sz w:val="20"/>
                <w:szCs w:val="20"/>
              </w:rPr>
              <w:t>Any preferred requirements on purchaser</w:t>
            </w:r>
          </w:p>
        </w:tc>
        <w:tc>
          <w:tcPr>
            <w:tcW w:w="4429" w:type="dxa"/>
          </w:tcPr>
          <w:p w:rsidR="002A6F4B" w:rsidRPr="002A6F4B" w:rsidRDefault="002A6F4B" w:rsidP="002A6F4B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</w:tbl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>Please include any further detail below that you feel would be helpful to a prospective buyer:</w:t>
      </w:r>
    </w:p>
    <w:p w:rsidR="002A6F4B" w:rsidRPr="002A6F4B" w:rsidRDefault="002A6F4B" w:rsidP="002A6F4B">
      <w:pPr>
        <w:jc w:val="both"/>
        <w:rPr>
          <w:rFonts w:asciiTheme="majorHAnsi" w:hAnsiTheme="majorHAnsi"/>
          <w:i/>
          <w:sz w:val="20"/>
        </w:rPr>
      </w:pPr>
      <w:r w:rsidRPr="002A6F4B">
        <w:rPr>
          <w:rFonts w:asciiTheme="majorHAnsi" w:hAnsiTheme="majorHAnsi"/>
          <w:i/>
          <w:sz w:val="20"/>
        </w:rPr>
        <w:t>Suggested text: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b/>
          <w:bCs/>
          <w:sz w:val="20"/>
          <w:u w:val="single"/>
        </w:rPr>
        <w:t>Re:  Adviser Asset Management Co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>Adviser Asset Management is a regional wealth man</w:t>
      </w:r>
      <w:r>
        <w:rPr>
          <w:rFonts w:asciiTheme="majorHAnsi" w:hAnsiTheme="majorHAnsi"/>
          <w:sz w:val="20"/>
        </w:rPr>
        <w:t xml:space="preserve">agement firm based in </w:t>
      </w:r>
      <w:proofErr w:type="spellStart"/>
      <w:r>
        <w:rPr>
          <w:rFonts w:asciiTheme="majorHAnsi" w:hAnsiTheme="majorHAnsi"/>
          <w:sz w:val="20"/>
        </w:rPr>
        <w:t>Anytown</w:t>
      </w:r>
      <w:proofErr w:type="spellEnd"/>
      <w:r>
        <w:rPr>
          <w:rFonts w:asciiTheme="majorHAnsi" w:hAnsiTheme="majorHAnsi"/>
          <w:sz w:val="20"/>
        </w:rPr>
        <w:t>. </w:t>
      </w:r>
      <w:r w:rsidRPr="002A6F4B">
        <w:rPr>
          <w:rFonts w:asciiTheme="majorHAnsi" w:hAnsiTheme="majorHAnsi"/>
          <w:sz w:val="20"/>
        </w:rPr>
        <w:t>We are independent and an accredited Chartered Financial Planning firm. The firm has discretionary investment permissions. 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>Our assets are split across a number of platforms Transact being the largest, followed by X, Y, and Z. 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 xml:space="preserve">We currently have contractual recurring income in excess of ££ per annum and by the end of 20XX anticipate having in excess </w:t>
      </w:r>
      <w:r>
        <w:rPr>
          <w:rFonts w:asciiTheme="majorHAnsi" w:hAnsiTheme="majorHAnsi"/>
          <w:sz w:val="20"/>
        </w:rPr>
        <w:t>of £ million under management. </w:t>
      </w:r>
      <w:r w:rsidRPr="002A6F4B">
        <w:rPr>
          <w:rFonts w:asciiTheme="majorHAnsi" w:hAnsiTheme="majorHAnsi"/>
          <w:sz w:val="20"/>
        </w:rPr>
        <w:t xml:space="preserve">Our client base consists of professional and retired clientele and we have approximately </w:t>
      </w:r>
      <w:proofErr w:type="spellStart"/>
      <w:r w:rsidRPr="002A6F4B">
        <w:rPr>
          <w:rFonts w:asciiTheme="majorHAnsi" w:hAnsiTheme="majorHAnsi"/>
          <w:sz w:val="20"/>
        </w:rPr>
        <w:t>nnn</w:t>
      </w:r>
      <w:proofErr w:type="spellEnd"/>
      <w:r w:rsidRPr="002A6F4B">
        <w:rPr>
          <w:rFonts w:asciiTheme="majorHAnsi" w:hAnsiTheme="majorHAnsi"/>
          <w:sz w:val="20"/>
        </w:rPr>
        <w:t xml:space="preserve"> active clients. The clients are concentrated geographically in the ABC area(s) and approximately n% are in de-accumulation.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 xml:space="preserve">The firm currently has X </w:t>
      </w:r>
      <w:r w:rsidR="001D0CDF">
        <w:rPr>
          <w:rFonts w:asciiTheme="majorHAnsi" w:hAnsiTheme="majorHAnsi"/>
          <w:sz w:val="20"/>
        </w:rPr>
        <w:t>A</w:t>
      </w:r>
      <w:bookmarkStart w:id="0" w:name="_GoBack"/>
      <w:bookmarkEnd w:id="0"/>
      <w:r w:rsidRPr="002A6F4B">
        <w:rPr>
          <w:rFonts w:asciiTheme="majorHAnsi" w:hAnsiTheme="majorHAnsi"/>
          <w:sz w:val="20"/>
        </w:rPr>
        <w:t xml:space="preserve">dvisers supported by </w:t>
      </w:r>
      <w:proofErr w:type="spellStart"/>
      <w:r w:rsidRPr="002A6F4B">
        <w:rPr>
          <w:rFonts w:asciiTheme="majorHAnsi" w:hAnsiTheme="majorHAnsi"/>
          <w:sz w:val="20"/>
        </w:rPr>
        <w:t>nn</w:t>
      </w:r>
      <w:proofErr w:type="spellEnd"/>
      <w:r w:rsidRPr="002A6F4B">
        <w:rPr>
          <w:rFonts w:asciiTheme="majorHAnsi" w:hAnsiTheme="majorHAnsi"/>
          <w:sz w:val="20"/>
        </w:rPr>
        <w:t xml:space="preserve"> staff. This will be </w:t>
      </w:r>
      <w:proofErr w:type="spellStart"/>
      <w:r w:rsidRPr="002A6F4B">
        <w:rPr>
          <w:rFonts w:asciiTheme="majorHAnsi" w:hAnsiTheme="majorHAnsi"/>
          <w:sz w:val="20"/>
        </w:rPr>
        <w:t>nn</w:t>
      </w:r>
      <w:proofErr w:type="spellEnd"/>
      <w:r w:rsidRPr="002A6F4B">
        <w:rPr>
          <w:rFonts w:asciiTheme="majorHAnsi" w:hAnsiTheme="majorHAnsi"/>
          <w:sz w:val="20"/>
        </w:rPr>
        <w:t xml:space="preserve"> by the end of 20YY with planned reti</w:t>
      </w:r>
      <w:r>
        <w:rPr>
          <w:rFonts w:asciiTheme="majorHAnsi" w:hAnsiTheme="majorHAnsi"/>
          <w:sz w:val="20"/>
        </w:rPr>
        <w:t>rement/recruitment/redundancy. </w:t>
      </w:r>
      <w:r w:rsidRPr="002A6F4B">
        <w:rPr>
          <w:rFonts w:asciiTheme="majorHAnsi" w:hAnsiTheme="majorHAnsi"/>
          <w:sz w:val="20"/>
        </w:rPr>
        <w:t>The equity (in holding company) is held by MR/MRS of whom MR/</w:t>
      </w:r>
      <w:r>
        <w:rPr>
          <w:rFonts w:asciiTheme="majorHAnsi" w:hAnsiTheme="majorHAnsi"/>
          <w:sz w:val="20"/>
        </w:rPr>
        <w:t xml:space="preserve">MRS are Directors of the firm. </w:t>
      </w:r>
      <w:r w:rsidRPr="002A6F4B">
        <w:rPr>
          <w:rFonts w:asciiTheme="majorHAnsi" w:hAnsiTheme="majorHAnsi"/>
          <w:sz w:val="20"/>
        </w:rPr>
        <w:t>There will be</w:t>
      </w:r>
      <w:r>
        <w:rPr>
          <w:rFonts w:asciiTheme="majorHAnsi" w:hAnsiTheme="majorHAnsi"/>
          <w:sz w:val="20"/>
        </w:rPr>
        <w:t xml:space="preserve"> n staff remaining who will be…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>We have grown the business organically adding approximately £ milli</w:t>
      </w:r>
      <w:r>
        <w:rPr>
          <w:rFonts w:asciiTheme="majorHAnsi" w:hAnsiTheme="majorHAnsi"/>
          <w:sz w:val="20"/>
        </w:rPr>
        <w:t>on under management each year. </w:t>
      </w:r>
      <w:r w:rsidRPr="002A6F4B">
        <w:rPr>
          <w:rFonts w:asciiTheme="majorHAnsi" w:hAnsiTheme="majorHAnsi"/>
          <w:sz w:val="20"/>
        </w:rPr>
        <w:t>This has been driven by introductions from existing clie</w:t>
      </w:r>
      <w:r>
        <w:rPr>
          <w:rFonts w:asciiTheme="majorHAnsi" w:hAnsiTheme="majorHAnsi"/>
          <w:sz w:val="20"/>
        </w:rPr>
        <w:t xml:space="preserve">nts and professional contacts. </w:t>
      </w:r>
      <w:r w:rsidRPr="002A6F4B">
        <w:rPr>
          <w:rFonts w:asciiTheme="majorHAnsi" w:hAnsiTheme="majorHAnsi"/>
          <w:sz w:val="20"/>
        </w:rPr>
        <w:t xml:space="preserve">We have been in a position for a number of years to streamline our processes whilst looking for the right opportunity to sell/merge.  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 xml:space="preserve">Our ideal sale/merger would be an advisory firm that has the majority of their assets on the Transact platform, based in the </w:t>
      </w:r>
      <w:proofErr w:type="spellStart"/>
      <w:r w:rsidRPr="002A6F4B">
        <w:rPr>
          <w:rFonts w:asciiTheme="majorHAnsi" w:hAnsiTheme="majorHAnsi"/>
          <w:sz w:val="20"/>
        </w:rPr>
        <w:t>xxxxx</w:t>
      </w:r>
      <w:proofErr w:type="spellEnd"/>
      <w:r w:rsidRPr="002A6F4B">
        <w:rPr>
          <w:rFonts w:asciiTheme="majorHAnsi" w:hAnsiTheme="majorHAnsi"/>
          <w:sz w:val="20"/>
        </w:rPr>
        <w:t xml:space="preserve"> area. 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lastRenderedPageBreak/>
        <w:t xml:space="preserve">We would prefer a </w:t>
      </w:r>
      <w:proofErr w:type="spellStart"/>
      <w:r w:rsidRPr="002A6F4B">
        <w:rPr>
          <w:rFonts w:asciiTheme="majorHAnsi" w:hAnsiTheme="majorHAnsi"/>
          <w:sz w:val="20"/>
        </w:rPr>
        <w:t>nn</w:t>
      </w:r>
      <w:proofErr w:type="spellEnd"/>
      <w:r w:rsidRPr="002A6F4B">
        <w:rPr>
          <w:rFonts w:asciiTheme="majorHAnsi" w:hAnsiTheme="majorHAnsi"/>
          <w:sz w:val="20"/>
        </w:rPr>
        <w:t>% upfront payment and would be happy to continue working in a new firm for up to (n) years. </w:t>
      </w:r>
    </w:p>
    <w:p w:rsidR="002A6F4B" w:rsidRPr="002A6F4B" w:rsidRDefault="002A6F4B" w:rsidP="002A6F4B">
      <w:pPr>
        <w:jc w:val="both"/>
        <w:rPr>
          <w:rFonts w:asciiTheme="majorHAnsi" w:hAnsiTheme="majorHAnsi"/>
          <w:sz w:val="20"/>
        </w:rPr>
      </w:pPr>
      <w:r w:rsidRPr="002A6F4B">
        <w:rPr>
          <w:rFonts w:asciiTheme="majorHAnsi" w:hAnsiTheme="majorHAnsi"/>
          <w:sz w:val="20"/>
        </w:rPr>
        <w:t>Our accounts to DD MM YYYY are attached/available on request.</w:t>
      </w:r>
    </w:p>
    <w:p w:rsidR="003B691D" w:rsidRDefault="003B691D" w:rsidP="002A6F4B">
      <w:pPr>
        <w:jc w:val="both"/>
      </w:pPr>
    </w:p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Pr="003B691D" w:rsidRDefault="003B691D" w:rsidP="003B691D"/>
    <w:p w:rsidR="003B691D" w:rsidRDefault="003B691D" w:rsidP="003B691D"/>
    <w:p w:rsidR="003B691D" w:rsidRDefault="003B691D" w:rsidP="003B691D"/>
    <w:p w:rsidR="002A6F4B" w:rsidRPr="003B691D" w:rsidRDefault="003B691D" w:rsidP="003B691D">
      <w:pPr>
        <w:pStyle w:val="NormalWeb"/>
        <w:spacing w:after="0" w:afterAutospacing="0"/>
        <w:jc w:val="center"/>
      </w:pPr>
      <w:r>
        <w:rPr>
          <w:rFonts w:ascii="Verdana" w:hAnsi="Verdana"/>
          <w:color w:val="222222"/>
          <w:sz w:val="12"/>
          <w:szCs w:val="12"/>
        </w:rPr>
        <w:t xml:space="preserve">Transact" is operated by Integrated Financial Arrangements Ltd, 29 </w:t>
      </w:r>
      <w:proofErr w:type="spellStart"/>
      <w:r>
        <w:rPr>
          <w:rFonts w:ascii="Verdana" w:hAnsi="Verdana"/>
          <w:color w:val="222222"/>
          <w:sz w:val="12"/>
          <w:szCs w:val="12"/>
        </w:rPr>
        <w:t>Clement's</w:t>
      </w:r>
      <w:proofErr w:type="spellEnd"/>
      <w:r>
        <w:rPr>
          <w:rFonts w:ascii="Verdana" w:hAnsi="Verdana"/>
          <w:color w:val="222222"/>
          <w:sz w:val="12"/>
          <w:szCs w:val="12"/>
        </w:rPr>
        <w:t xml:space="preserve"> Lane, London, EC4N 7AE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 xml:space="preserve">Tel: (020) 7608 4900 Fax: (020) 7608 5300 email: </w:t>
      </w:r>
      <w:hyperlink r:id="rId14" w:history="1">
        <w:r>
          <w:rPr>
            <w:rStyle w:val="Hyperlink"/>
            <w:rFonts w:ascii="Verdana" w:hAnsi="Verdana"/>
            <w:sz w:val="12"/>
            <w:szCs w:val="12"/>
          </w:rPr>
          <w:t>info@transact-online.co.uk</w:t>
        </w:r>
      </w:hyperlink>
      <w:r>
        <w:rPr>
          <w:rFonts w:ascii="Verdana" w:hAnsi="Verdana"/>
          <w:color w:val="222222"/>
          <w:sz w:val="12"/>
          <w:szCs w:val="12"/>
        </w:rPr>
        <w:t xml:space="preserve"> web: </w:t>
      </w:r>
      <w:hyperlink r:id="rId15" w:history="1">
        <w:r>
          <w:rPr>
            <w:rStyle w:val="Hyperlink"/>
            <w:rFonts w:ascii="Verdana" w:hAnsi="Verdana"/>
            <w:sz w:val="12"/>
            <w:szCs w:val="12"/>
          </w:rPr>
          <w:t>www.transact-online.co.uk</w:t>
        </w:r>
      </w:hyperlink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>(Registered office: as above; Registered in England and Wales under number: 3727592)</w:t>
      </w:r>
      <w:r>
        <w:rPr>
          <w:rFonts w:ascii="Verdana" w:hAnsi="Verdana"/>
          <w:sz w:val="12"/>
          <w:szCs w:val="12"/>
        </w:rPr>
        <w:br/>
      </w:r>
      <w:r>
        <w:rPr>
          <w:rFonts w:ascii="Verdana" w:hAnsi="Verdana"/>
          <w:color w:val="222222"/>
          <w:sz w:val="12"/>
          <w:szCs w:val="12"/>
        </w:rPr>
        <w:t>Authorised and regulated by the Financial Conduct Authority (entered on the Financial Services Register under number: 190856)</w:t>
      </w:r>
    </w:p>
    <w:sectPr w:rsidR="002A6F4B" w:rsidRPr="003B691D" w:rsidSect="008A3A56">
      <w:headerReference w:type="default" r:id="rId16"/>
      <w:footerReference w:type="default" r:id="rId17"/>
      <w:pgSz w:w="11900" w:h="16840"/>
      <w:pgMar w:top="1985" w:right="1554" w:bottom="1701" w:left="1418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FB" w:rsidRDefault="00CE2FDB">
      <w:r>
        <w:separator/>
      </w:r>
    </w:p>
    <w:p w:rsidR="00707317" w:rsidRDefault="00707317"/>
  </w:endnote>
  <w:endnote w:type="continuationSeparator" w:id="0">
    <w:p w:rsidR="00D179FB" w:rsidRDefault="00CE2FDB">
      <w:r>
        <w:continuationSeparator/>
      </w:r>
    </w:p>
    <w:p w:rsidR="00707317" w:rsidRDefault="00707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8A3A56" w:rsidRDefault="008A3A56" w:rsidP="008A3A56">
    <w:pPr>
      <w:pStyle w:val="Footer"/>
    </w:pPr>
  </w:p>
  <w:p w:rsidR="003C7F68" w:rsidRDefault="003C7F68" w:rsidP="008A3A5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9613265</wp:posOffset>
          </wp:positionV>
          <wp:extent cx="7567200" cy="108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nsact Connect PORTRAIT footer no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317" w:rsidRDefault="00F910CB" w:rsidP="00F910C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9504" behindDoc="1" locked="1" layoutInCell="1" allowOverlap="1" wp14:anchorId="080B25D0" wp14:editId="2EB64DA4">
          <wp:simplePos x="0" y="0"/>
          <wp:positionH relativeFrom="page">
            <wp:posOffset>0</wp:posOffset>
          </wp:positionH>
          <wp:positionV relativeFrom="page">
            <wp:posOffset>10153015</wp:posOffset>
          </wp:positionV>
          <wp:extent cx="7567200" cy="540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nsact Connect PORTRAIT footer no logo 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0056"/>
                  <a:stretch/>
                </pic:blipFill>
                <pic:spPr bwMode="auto">
                  <a:xfrm>
                    <a:off x="0" y="0"/>
                    <a:ext cx="7567200" cy="5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FB" w:rsidRDefault="00CE2FDB">
      <w:r>
        <w:separator/>
      </w:r>
    </w:p>
    <w:p w:rsidR="00707317" w:rsidRDefault="00707317"/>
  </w:footnote>
  <w:footnote w:type="continuationSeparator" w:id="0">
    <w:p w:rsidR="00D179FB" w:rsidRDefault="00CE2FDB">
      <w:r>
        <w:continuationSeparator/>
      </w:r>
    </w:p>
    <w:p w:rsidR="00707317" w:rsidRDefault="007073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830680">
      <w:rPr>
        <w:noProof/>
        <w:color w:val="0099FF"/>
        <w:sz w:val="20"/>
        <w:lang w:val="en-GB" w:eastAsia="en-GB"/>
      </w:rPr>
      <w:drawing>
        <wp:anchor distT="0" distB="0" distL="114935" distR="114935" simplePos="0" relativeHeight="251657216" behindDoc="1" locked="0" layoutInCell="1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7200" cy="108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ransact Connect PORTRAIT footer with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30680" w:rsidRDefault="00830680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C21627" w:rsidRDefault="00C21627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2A64D9">
      <w:rPr>
        <w:color w:val="0099FF"/>
        <w:sz w:val="20"/>
      </w:rPr>
      <w:t>For Adviser Use Only</w:t>
    </w: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  <w:p w:rsidR="008A3A56" w:rsidRPr="002A64D9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CB" w:rsidRDefault="00F910C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A56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830680">
      <w:rPr>
        <w:noProof/>
        <w:color w:val="0099FF"/>
        <w:sz w:val="20"/>
        <w:lang w:val="en-GB" w:eastAsia="en-GB"/>
      </w:rPr>
      <w:drawing>
        <wp:anchor distT="0" distB="0" distL="114935" distR="114935" simplePos="0" relativeHeight="251667456" behindDoc="1" locked="1" layoutInCell="1" allowOverlap="0" wp14:anchorId="19E594C7" wp14:editId="1789443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5391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act Connect PORTRAIT footer with logo 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9934"/>
                  <a:stretch/>
                </pic:blipFill>
                <pic:spPr bwMode="auto">
                  <a:xfrm>
                    <a:off x="0" y="0"/>
                    <a:ext cx="755967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A3A56" w:rsidRPr="002A64D9" w:rsidRDefault="008A3A56" w:rsidP="008A3A56">
    <w:pPr>
      <w:pStyle w:val="Header"/>
      <w:tabs>
        <w:tab w:val="clear" w:pos="4320"/>
        <w:tab w:val="center" w:pos="5245"/>
      </w:tabs>
      <w:spacing w:before="0"/>
      <w:jc w:val="right"/>
      <w:rPr>
        <w:color w:val="0099FF"/>
        <w:sz w:val="20"/>
      </w:rPr>
    </w:pPr>
    <w:r w:rsidRPr="002A64D9">
      <w:rPr>
        <w:color w:val="0099FF"/>
        <w:sz w:val="20"/>
      </w:rPr>
      <w:t>For Adviser Use Only</w:t>
    </w:r>
  </w:p>
  <w:p w:rsidR="00707317" w:rsidRDefault="007073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741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8848D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3F2D74D8"/>
    <w:multiLevelType w:val="hybridMultilevel"/>
    <w:tmpl w:val="CA18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E356E"/>
    <w:multiLevelType w:val="hybridMultilevel"/>
    <w:tmpl w:val="3586A60C"/>
    <w:lvl w:ilvl="0" w:tplc="8B0CEAD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>
      <o:colormenu v:ext="edit" fillcolor="none [3215]" strokecolor="none [32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94"/>
    <w:rsid w:val="001D0CDF"/>
    <w:rsid w:val="001D5049"/>
    <w:rsid w:val="001D5DF2"/>
    <w:rsid w:val="00204217"/>
    <w:rsid w:val="0021414E"/>
    <w:rsid w:val="0025026C"/>
    <w:rsid w:val="0026154F"/>
    <w:rsid w:val="00274DE2"/>
    <w:rsid w:val="002A1B59"/>
    <w:rsid w:val="002A64D9"/>
    <w:rsid w:val="002A6F4B"/>
    <w:rsid w:val="002C0783"/>
    <w:rsid w:val="00365D3B"/>
    <w:rsid w:val="003A779A"/>
    <w:rsid w:val="003B691D"/>
    <w:rsid w:val="003C7680"/>
    <w:rsid w:val="003C7F68"/>
    <w:rsid w:val="003D5E51"/>
    <w:rsid w:val="003F29C3"/>
    <w:rsid w:val="00494362"/>
    <w:rsid w:val="004B468B"/>
    <w:rsid w:val="004C7F27"/>
    <w:rsid w:val="00517794"/>
    <w:rsid w:val="00707317"/>
    <w:rsid w:val="00716730"/>
    <w:rsid w:val="00726585"/>
    <w:rsid w:val="00732378"/>
    <w:rsid w:val="00764672"/>
    <w:rsid w:val="007A39A2"/>
    <w:rsid w:val="007F5D8F"/>
    <w:rsid w:val="0080193F"/>
    <w:rsid w:val="00830680"/>
    <w:rsid w:val="00867E10"/>
    <w:rsid w:val="00874E71"/>
    <w:rsid w:val="008A3A56"/>
    <w:rsid w:val="009710B1"/>
    <w:rsid w:val="009C229A"/>
    <w:rsid w:val="00A216FD"/>
    <w:rsid w:val="00A4730D"/>
    <w:rsid w:val="00B0289D"/>
    <w:rsid w:val="00B5316B"/>
    <w:rsid w:val="00C21627"/>
    <w:rsid w:val="00C3414D"/>
    <w:rsid w:val="00CE2FDB"/>
    <w:rsid w:val="00D179FB"/>
    <w:rsid w:val="00D3099A"/>
    <w:rsid w:val="00D7101F"/>
    <w:rsid w:val="00E26720"/>
    <w:rsid w:val="00EB1C88"/>
    <w:rsid w:val="00F902AE"/>
    <w:rsid w:val="00F910CB"/>
    <w:rsid w:val="00FA19C5"/>
    <w:rsid w:val="00FB2B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enu v:ext="edit" fillcolor="none [3215]" strokecolor="none [3215]"/>
    </o:shapedefaults>
    <o:shapelayout v:ext="edit">
      <o:idmap v:ext="edit" data="1"/>
    </o:shapelayout>
  </w:shapeDefaults>
  <w:decimalSymbol w:val="."/>
  <w:listSeparator w:val=","/>
  <w15:docId w15:val="{E4EEE52A-8DD7-4207-90CA-AEA9D3FE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217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71"/>
    <w:pPr>
      <w:keepNext/>
      <w:keepLines/>
      <w:spacing w:before="480"/>
      <w:outlineLvl w:val="0"/>
    </w:pPr>
    <w:rPr>
      <w:rFonts w:asciiTheme="majorHAnsi" w:eastAsiaTheme="majorEastAsia" w:hAnsiTheme="majorHAnsi" w:cstheme="majorHAnsi"/>
      <w:bCs/>
      <w:caps/>
      <w:color w:val="202857" w:themeColor="accent4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71"/>
    <w:pPr>
      <w:keepNext/>
      <w:keepLines/>
      <w:outlineLvl w:val="1"/>
    </w:pPr>
    <w:rPr>
      <w:rFonts w:asciiTheme="majorHAnsi" w:eastAsiaTheme="majorEastAsia" w:hAnsiTheme="majorHAnsi" w:cstheme="majorBidi"/>
      <w:bCs/>
      <w:color w:val="303F8A" w:themeColor="accent1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7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794"/>
  </w:style>
  <w:style w:type="paragraph" w:styleId="Footer">
    <w:name w:val="footer"/>
    <w:basedOn w:val="Normal"/>
    <w:link w:val="FooterChar"/>
    <w:uiPriority w:val="99"/>
    <w:unhideWhenUsed/>
    <w:rsid w:val="008A3A56"/>
    <w:pPr>
      <w:tabs>
        <w:tab w:val="center" w:pos="4320"/>
        <w:tab w:val="right" w:pos="8930"/>
      </w:tabs>
      <w:spacing w:before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A3A56"/>
    <w:rPr>
      <w:rFonts w:ascii="Helvetica" w:hAnsi="Helvetica"/>
      <w:sz w:val="18"/>
    </w:rPr>
  </w:style>
  <w:style w:type="paragraph" w:customStyle="1" w:styleId="BasicParagraph">
    <w:name w:val="[Basic Paragraph]"/>
    <w:basedOn w:val="Normal"/>
    <w:uiPriority w:val="99"/>
    <w:rsid w:val="0051779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cs="MinionPro-Regular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4E71"/>
    <w:rPr>
      <w:rFonts w:asciiTheme="majorHAnsi" w:eastAsiaTheme="majorEastAsia" w:hAnsiTheme="majorHAnsi" w:cstheme="majorHAnsi"/>
      <w:bCs/>
      <w:caps/>
      <w:color w:val="202857" w:themeColor="accent4"/>
      <w:sz w:val="52"/>
      <w:szCs w:val="32"/>
    </w:rPr>
  </w:style>
  <w:style w:type="paragraph" w:customStyle="1" w:styleId="Heading">
    <w:name w:val="Heading"/>
    <w:basedOn w:val="Heading2"/>
    <w:link w:val="HeadingChar"/>
    <w:qFormat/>
    <w:rsid w:val="003A779A"/>
    <w:pPr>
      <w:tabs>
        <w:tab w:val="right" w:pos="1701"/>
      </w:tabs>
      <w:spacing w:before="80"/>
    </w:pPr>
    <w:rPr>
      <w:rFonts w:ascii="Helvetica" w:hAnsi="Helvetica"/>
      <w:b/>
      <w:caps/>
      <w:color w:val="0099F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74E71"/>
    <w:rPr>
      <w:rFonts w:asciiTheme="majorHAnsi" w:eastAsiaTheme="majorEastAsia" w:hAnsiTheme="majorHAnsi" w:cstheme="majorBidi"/>
      <w:bCs/>
      <w:color w:val="303F8A" w:themeColor="accent1"/>
      <w:sz w:val="36"/>
      <w:szCs w:val="26"/>
    </w:rPr>
  </w:style>
  <w:style w:type="character" w:customStyle="1" w:styleId="HeadingChar">
    <w:name w:val="Heading Char"/>
    <w:basedOn w:val="Heading2Char"/>
    <w:link w:val="Heading"/>
    <w:rsid w:val="003A779A"/>
    <w:rPr>
      <w:rFonts w:ascii="Helvetica" w:eastAsiaTheme="majorEastAsia" w:hAnsi="Helvetica" w:cstheme="majorBidi"/>
      <w:b/>
      <w:bCs/>
      <w:caps/>
      <w:color w:val="0099FF"/>
      <w:sz w:val="32"/>
      <w:szCs w:val="26"/>
    </w:rPr>
  </w:style>
  <w:style w:type="paragraph" w:styleId="ListParagraph">
    <w:name w:val="List Paragraph"/>
    <w:basedOn w:val="Normal"/>
    <w:uiPriority w:val="34"/>
    <w:qFormat/>
    <w:rsid w:val="008A3A56"/>
    <w:pPr>
      <w:numPr>
        <w:numId w:val="3"/>
      </w:numPr>
      <w:ind w:left="426" w:hanging="426"/>
      <w:contextualSpacing/>
    </w:pPr>
  </w:style>
  <w:style w:type="paragraph" w:customStyle="1" w:styleId="Covertitle">
    <w:name w:val="Cover title"/>
    <w:basedOn w:val="Heading1"/>
    <w:qFormat/>
    <w:rsid w:val="00874E71"/>
    <w:pPr>
      <w:jc w:val="right"/>
    </w:pPr>
    <w:rPr>
      <w:sz w:val="64"/>
      <w:szCs w:val="64"/>
    </w:rPr>
  </w:style>
  <w:style w:type="paragraph" w:customStyle="1" w:styleId="Coversubheading">
    <w:name w:val="Cover sub heading"/>
    <w:basedOn w:val="Heading"/>
    <w:qFormat/>
    <w:rsid w:val="00874E71"/>
    <w:pPr>
      <w:jc w:val="right"/>
    </w:pPr>
    <w:rPr>
      <w:rFonts w:asciiTheme="majorHAnsi" w:hAnsiTheme="majorHAnsi"/>
      <w:b w:val="0"/>
      <w:color w:val="829BCA" w:themeColor="accent2"/>
      <w:lang w:val="en-GB"/>
    </w:rPr>
  </w:style>
  <w:style w:type="character" w:styleId="Emphasis">
    <w:name w:val="Emphasis"/>
    <w:basedOn w:val="DefaultParagraphFont"/>
    <w:rsid w:val="003A779A"/>
    <w:rPr>
      <w:i/>
      <w:iCs/>
    </w:rPr>
  </w:style>
  <w:style w:type="character" w:styleId="Strong">
    <w:name w:val="Strong"/>
    <w:basedOn w:val="DefaultParagraphFont"/>
    <w:rsid w:val="003A779A"/>
    <w:rPr>
      <w:rFonts w:asciiTheme="minorHAnsi" w:hAnsiTheme="minorHAnsi" w:cstheme="minorHAns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26154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229A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229A"/>
    <w:pPr>
      <w:autoSpaceDE w:val="0"/>
      <w:autoSpaceDN w:val="0"/>
      <w:adjustRightInd w:val="0"/>
      <w:spacing w:before="0"/>
    </w:pPr>
    <w:rPr>
      <w:rFonts w:ascii="Calibri" w:hAnsi="Calibri" w:cs="Calibri"/>
      <w:color w:val="00000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2A6F4B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A6F4B"/>
    <w:pPr>
      <w:spacing w:before="0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691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B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transact-online.co.uk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fo@transact-online.co.u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Transact">
      <a:dk1>
        <a:sysClr val="windowText" lastClr="000000"/>
      </a:dk1>
      <a:lt1>
        <a:sysClr val="window" lastClr="FFFFFF"/>
      </a:lt1>
      <a:dk2>
        <a:srgbClr val="303F8A"/>
      </a:dk2>
      <a:lt2>
        <a:srgbClr val="F6F9FC"/>
      </a:lt2>
      <a:accent1>
        <a:srgbClr val="303F8A"/>
      </a:accent1>
      <a:accent2>
        <a:srgbClr val="829BCA"/>
      </a:accent2>
      <a:accent3>
        <a:srgbClr val="A2BFE6"/>
      </a:accent3>
      <a:accent4>
        <a:srgbClr val="202857"/>
      </a:accent4>
      <a:accent5>
        <a:srgbClr val="303F8A"/>
      </a:accent5>
      <a:accent6>
        <a:srgbClr val="829BCA"/>
      </a:accent6>
      <a:hlink>
        <a:srgbClr val="202857"/>
      </a:hlink>
      <a:folHlink>
        <a:srgbClr val="303F8A"/>
      </a:folHlink>
    </a:clrScheme>
    <a:fontScheme name="Transa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EA53-9C55-443A-99E2-3363F86DF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Izabella Johnson</cp:lastModifiedBy>
  <cp:revision>6</cp:revision>
  <cp:lastPrinted>2015-12-21T12:23:00Z</cp:lastPrinted>
  <dcterms:created xsi:type="dcterms:W3CDTF">2022-02-03T16:02:00Z</dcterms:created>
  <dcterms:modified xsi:type="dcterms:W3CDTF">2022-02-03T16:13:00Z</dcterms:modified>
</cp:coreProperties>
</file>